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theme+xml" PartName="/word/theme/theme1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ЗАЯВКА на участие в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283" w:right="0" w:hanging="283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XI Всероссийском  Кадровом форуме им. А.Я. Кибанова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283" w:right="0" w:hanging="283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«Человеческий капитал в условиях цифровой экономики»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283" w:right="0" w:hanging="283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(с международным участием)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hanging="283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Самара, 16-18 апреля 2020 года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19.0" w:type="dxa"/>
        <w:jc w:val="left"/>
        <w:tblInd w:w="452.00000000000006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93"/>
        <w:gridCol w:w="4426"/>
        <w:tblGridChange w:id="0">
          <w:tblGrid>
            <w:gridCol w:w="4693"/>
            <w:gridCol w:w="4426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Фамилия, имя, отчество (полностью)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Учёная степень, учёное звание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Наименование учреждения, должность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Форма участия (очная/заочная)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Название доклада (статьи)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Название направления (секции)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ФИО докладчика (коллективный доклад)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Научный руководитель (при наличии) (ФИО полностью, ученая степень, звание)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Телефон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E-mail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67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284"/>
        </w:tabs>
        <w:spacing w:after="0" w:before="0" w:line="276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20" w:footer="720"/>
      <w:pgNumType w:start="1"/>
      <w:cols w:equalWidth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